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方正小标宋简体" w:cs="Times New Roman"/>
          <w:color w:val="000000"/>
          <w:sz w:val="44"/>
          <w:szCs w:val="44"/>
        </w:rPr>
      </w:pPr>
      <w:r>
        <w:rPr>
          <w:rFonts w:hint="eastAsia" w:ascii="Times New Roman" w:hAnsi="Times New Roman" w:eastAsia="方正小标宋简体" w:cs="方正小标宋简体"/>
          <w:color w:val="000000"/>
          <w:sz w:val="44"/>
          <w:szCs w:val="44"/>
        </w:rPr>
        <w:t>晋江市市场监督管理局</w:t>
      </w:r>
    </w:p>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Times New Roman" w:hAnsi="Times New Roman" w:eastAsia="方正小标宋简体" w:cs="方正小标宋简体"/>
          <w:color w:val="000000"/>
          <w:sz w:val="44"/>
          <w:szCs w:val="44"/>
        </w:rPr>
      </w:pPr>
      <w:r>
        <w:rPr>
          <w:rFonts w:hint="eastAsia" w:ascii="Times New Roman" w:hAnsi="Times New Roman" w:eastAsia="方正小标宋简体" w:cs="方正小标宋简体"/>
          <w:color w:val="000000"/>
          <w:sz w:val="44"/>
          <w:szCs w:val="44"/>
        </w:rPr>
        <w:t xml:space="preserve">  行政处罚决定书</w:t>
      </w:r>
    </w:p>
    <w:p>
      <w:pPr>
        <w:keepNext w:val="0"/>
        <w:keepLines w:val="0"/>
        <w:pageBreakBefore w:val="0"/>
        <w:widowControl w:val="0"/>
        <w:tabs>
          <w:tab w:val="left" w:pos="2725"/>
        </w:tabs>
        <w:kinsoku/>
        <w:wordWrap/>
        <w:overflowPunct/>
        <w:topLinePunct w:val="0"/>
        <w:autoSpaceDE/>
        <w:autoSpaceDN/>
        <w:bidi w:val="0"/>
        <w:adjustRightInd/>
        <w:snapToGrid/>
        <w:spacing w:before="312" w:beforeLines="100" w:after="312" w:afterLines="100" w:line="480" w:lineRule="exact"/>
        <w:jc w:val="center"/>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晋市监处罚〔</w:t>
      </w:r>
      <w:r>
        <w:rPr>
          <w:rFonts w:ascii="仿宋_GB2312" w:hAnsi="Times New Roman" w:eastAsia="仿宋_GB2312" w:cs="仿宋_GB2312"/>
          <w:sz w:val="32"/>
          <w:szCs w:val="32"/>
        </w:rPr>
        <w:t>202</w:t>
      </w:r>
      <w:r>
        <w:rPr>
          <w:rFonts w:hint="eastAsia" w:ascii="仿宋_GB2312" w:hAnsi="Times New Roman" w:eastAsia="仿宋_GB2312" w:cs="仿宋_GB2312"/>
          <w:sz w:val="32"/>
          <w:szCs w:val="32"/>
          <w:lang w:val="en-US" w:eastAsia="zh-CN"/>
        </w:rPr>
        <w:t>5</w:t>
      </w:r>
      <w:r>
        <w:rPr>
          <w:rFonts w:hint="eastAsia" w:ascii="仿宋_GB2312" w:hAnsi="Times New Roman" w:eastAsia="仿宋_GB2312" w:cs="仿宋_GB2312"/>
          <w:sz w:val="32"/>
          <w:szCs w:val="32"/>
        </w:rPr>
        <w:t>〕21-</w:t>
      </w:r>
      <w:r>
        <w:rPr>
          <w:rFonts w:hint="eastAsia" w:ascii="仿宋_GB2312" w:hAnsi="Times New Roman" w:eastAsia="仿宋_GB2312" w:cs="仿宋_GB2312"/>
          <w:sz w:val="32"/>
          <w:szCs w:val="32"/>
          <w:lang w:val="en-US" w:eastAsia="zh-CN"/>
        </w:rPr>
        <w:t>21</w:t>
      </w:r>
      <w:r>
        <w:rPr>
          <w:rFonts w:hint="eastAsia" w:ascii="仿宋_GB2312" w:hAnsi="Times New Roman" w:eastAsia="仿宋_GB2312" w:cs="仿宋_GB2312"/>
          <w:sz w:val="32"/>
          <w:szCs w:val="32"/>
        </w:rPr>
        <w:t>号</w:t>
      </w:r>
    </w:p>
    <w:p>
      <w:pPr>
        <w:keepNext w:val="0"/>
        <w:keepLines w:val="0"/>
        <w:pageBreakBefore w:val="0"/>
        <w:widowControl w:val="0"/>
        <w:kinsoku/>
        <w:wordWrap/>
        <w:overflowPunct/>
        <w:topLinePunct w:val="0"/>
        <w:autoSpaceDE/>
        <w:autoSpaceDN/>
        <w:bidi w:val="0"/>
        <w:ind w:left="140" w:hanging="140"/>
        <w:rPr>
          <w:rFonts w:hint="eastAsia" w:ascii="仿宋_GB2312" w:hAnsi="宋体" w:eastAsia="仿宋_GB2312" w:cs="仿宋_GB2312"/>
          <w:kern w:val="1"/>
          <w:sz w:val="32"/>
          <w:szCs w:val="32"/>
        </w:rPr>
      </w:pPr>
      <w:r>
        <w:rPr>
          <w:rFonts w:hint="eastAsia" w:ascii="仿宋_GB2312" w:hAnsi="宋体" w:eastAsia="仿宋_GB2312" w:cs="仿宋_GB2312"/>
          <w:kern w:val="1"/>
          <w:sz w:val="32"/>
          <w:szCs w:val="32"/>
        </w:rPr>
        <w:t>当事人：</w:t>
      </w:r>
      <w:r>
        <w:rPr>
          <w:rFonts w:hint="eastAsia" w:ascii="仿宋_GB2312" w:hAnsi="仿宋" w:eastAsia="仿宋_GB2312" w:cs="仿宋_GB2312"/>
          <w:sz w:val="32"/>
          <w:szCs w:val="32"/>
        </w:rPr>
        <w:t>晋江健平诊所有限公司</w:t>
      </w:r>
      <w:r>
        <w:rPr>
          <w:rFonts w:hint="eastAsia" w:ascii="仿宋_GB2312" w:hAnsi="宋体" w:eastAsia="仿宋_GB2312" w:cs="仿宋_GB2312"/>
          <w:kern w:val="1"/>
          <w:sz w:val="32"/>
          <w:szCs w:val="32"/>
        </w:rPr>
        <w:t xml:space="preserve">             </w:t>
      </w:r>
    </w:p>
    <w:p>
      <w:pPr>
        <w:keepNext w:val="0"/>
        <w:keepLines w:val="0"/>
        <w:pageBreakBefore w:val="0"/>
        <w:widowControl w:val="0"/>
        <w:kinsoku/>
        <w:wordWrap/>
        <w:overflowPunct/>
        <w:topLinePunct w:val="0"/>
        <w:autoSpaceDE/>
        <w:autoSpaceDN/>
        <w:bidi w:val="0"/>
        <w:ind w:left="140" w:hanging="140"/>
        <w:rPr>
          <w:rFonts w:hint="eastAsia" w:ascii="仿宋_GB2312" w:hAnsi="宋体" w:eastAsia="仿宋_GB2312" w:cs="仿宋_GB2312"/>
          <w:kern w:val="1"/>
          <w:sz w:val="32"/>
          <w:szCs w:val="32"/>
        </w:rPr>
      </w:pPr>
      <w:r>
        <w:rPr>
          <w:rFonts w:hint="eastAsia" w:ascii="仿宋_GB2312" w:hAnsi="宋体" w:eastAsia="仿宋_GB2312" w:cs="仿宋_GB2312"/>
          <w:kern w:val="1"/>
          <w:sz w:val="32"/>
          <w:szCs w:val="32"/>
        </w:rPr>
        <w:t>主体资格证照名称：</w:t>
      </w:r>
      <w:r>
        <w:rPr>
          <w:rFonts w:hint="eastAsia" w:ascii="仿宋_GB2312" w:hAnsi="仿宋" w:eastAsia="仿宋_GB2312" w:cs="仿宋_GB2312"/>
          <w:kern w:val="2"/>
          <w:sz w:val="32"/>
          <w:szCs w:val="32"/>
          <w:lang w:eastAsia="zh-CN"/>
        </w:rPr>
        <w:t>营业执照</w:t>
      </w:r>
      <w:r>
        <w:rPr>
          <w:rFonts w:hint="eastAsia" w:ascii="仿宋_GB2312" w:hAnsi="宋体" w:eastAsia="仿宋_GB2312" w:cs="仿宋_GB2312"/>
          <w:kern w:val="1"/>
          <w:sz w:val="32"/>
          <w:szCs w:val="32"/>
        </w:rPr>
        <w:t xml:space="preserve">                    </w:t>
      </w:r>
    </w:p>
    <w:p>
      <w:pPr>
        <w:keepNext w:val="0"/>
        <w:keepLines w:val="0"/>
        <w:pageBreakBefore w:val="0"/>
        <w:widowControl w:val="0"/>
        <w:kinsoku/>
        <w:wordWrap/>
        <w:overflowPunct/>
        <w:topLinePunct w:val="0"/>
        <w:autoSpaceDE/>
        <w:autoSpaceDN/>
        <w:bidi w:val="0"/>
        <w:ind w:left="140" w:hanging="140"/>
        <w:rPr>
          <w:rFonts w:hint="eastAsia" w:ascii="仿宋_GB2312" w:hAnsi="宋体" w:eastAsia="仿宋_GB2312" w:cs="仿宋_GB2312"/>
          <w:kern w:val="1"/>
          <w:sz w:val="32"/>
          <w:szCs w:val="32"/>
        </w:rPr>
      </w:pPr>
      <w:r>
        <w:rPr>
          <w:rFonts w:hint="eastAsia" w:ascii="仿宋_GB2312" w:hAnsi="仿宋" w:eastAsia="仿宋_GB2312" w:cs="仿宋_GB2312"/>
          <w:sz w:val="32"/>
          <w:szCs w:val="32"/>
        </w:rPr>
        <w:t>统一社会信用代码</w:t>
      </w:r>
      <w:r>
        <w:rPr>
          <w:rFonts w:hint="eastAsia" w:ascii="仿宋_GB2312" w:hAnsi="仿宋" w:eastAsia="仿宋_GB2312" w:cs="仿宋_GB2312"/>
          <w:kern w:val="2"/>
          <w:sz w:val="32"/>
          <w:szCs w:val="32"/>
          <w:lang w:eastAsia="zh-CN"/>
        </w:rPr>
        <w:t>：</w:t>
      </w:r>
      <w:r>
        <w:rPr>
          <w:rFonts w:hint="eastAsia" w:ascii="仿宋_GB2312" w:hAnsi="仿宋" w:eastAsia="仿宋_GB2312" w:cs="仿宋_GB2312"/>
          <w:sz w:val="32"/>
          <w:szCs w:val="32"/>
          <w:lang w:eastAsia="zh-CN"/>
        </w:rPr>
        <w:t>9</w:t>
      </w:r>
      <w:r>
        <w:rPr>
          <w:rFonts w:hint="eastAsia" w:ascii="仿宋_GB2312" w:hAnsi="仿宋" w:eastAsia="仿宋_GB2312" w:cs="仿宋_GB2312"/>
          <w:sz w:val="32"/>
          <w:szCs w:val="32"/>
          <w:lang w:val="en-US" w:eastAsia="zh-CN"/>
        </w:rPr>
        <w:t>1</w:t>
      </w:r>
      <w:r>
        <w:rPr>
          <w:rFonts w:hint="eastAsia" w:ascii="仿宋_GB2312" w:hAnsi="仿宋" w:eastAsia="仿宋_GB2312" w:cs="仿宋_GB2312"/>
          <w:sz w:val="32"/>
          <w:szCs w:val="32"/>
          <w:lang w:eastAsia="zh-CN"/>
        </w:rPr>
        <w:t>350582MA</w:t>
      </w:r>
      <w:r>
        <w:rPr>
          <w:rFonts w:hint="eastAsia" w:ascii="仿宋_GB2312" w:hAnsi="仿宋" w:eastAsia="仿宋_GB2312" w:cs="仿宋_GB2312"/>
          <w:sz w:val="32"/>
          <w:szCs w:val="32"/>
          <w:lang w:val="en-US" w:eastAsia="zh-CN"/>
        </w:rPr>
        <w:t>D7M30W7F</w:t>
      </w:r>
      <w:r>
        <w:rPr>
          <w:rFonts w:hint="eastAsia" w:ascii="仿宋_GB2312" w:hAnsi="宋体" w:eastAsia="仿宋_GB2312" w:cs="仿宋_GB2312"/>
          <w:kern w:val="1"/>
          <w:sz w:val="32"/>
          <w:szCs w:val="32"/>
        </w:rPr>
        <w:t xml:space="preserve">                  </w:t>
      </w:r>
    </w:p>
    <w:p>
      <w:pPr>
        <w:keepNext w:val="0"/>
        <w:keepLines w:val="0"/>
        <w:pageBreakBefore w:val="0"/>
        <w:widowControl w:val="0"/>
        <w:kinsoku/>
        <w:wordWrap/>
        <w:overflowPunct/>
        <w:topLinePunct w:val="0"/>
        <w:autoSpaceDE/>
        <w:autoSpaceDN/>
        <w:bidi w:val="0"/>
        <w:ind w:left="140" w:hanging="140"/>
        <w:rPr>
          <w:rFonts w:hint="eastAsia" w:ascii="仿宋_GB2312" w:hAnsi="仿宋" w:eastAsia="仿宋_GB2312" w:cs="仿宋_GB2312"/>
          <w:sz w:val="32"/>
          <w:szCs w:val="32"/>
          <w:lang w:val="en-US" w:eastAsia="zh-CN"/>
        </w:rPr>
      </w:pPr>
      <w:r>
        <w:rPr>
          <w:rFonts w:hint="eastAsia" w:ascii="仿宋_GB2312" w:hAnsi="仿宋" w:eastAsia="仿宋_GB2312" w:cs="仿宋_GB2312"/>
          <w:kern w:val="2"/>
          <w:sz w:val="32"/>
          <w:szCs w:val="32"/>
          <w:lang w:eastAsia="zh-CN"/>
        </w:rPr>
        <w:t>地址：</w:t>
      </w:r>
      <w:r>
        <w:rPr>
          <w:rFonts w:hint="eastAsia" w:ascii="仿宋_GB2312" w:hAnsi="仿宋" w:eastAsia="仿宋_GB2312" w:cs="仿宋_GB2312"/>
          <w:sz w:val="32"/>
          <w:szCs w:val="32"/>
          <w:lang w:val="en-US" w:eastAsia="zh-CN"/>
        </w:rPr>
        <w:t>晋江市东石镇龙下村东龙路*号</w:t>
      </w:r>
    </w:p>
    <w:p>
      <w:pPr>
        <w:keepNext w:val="0"/>
        <w:keepLines w:val="0"/>
        <w:pageBreakBefore w:val="0"/>
        <w:widowControl w:val="0"/>
        <w:kinsoku/>
        <w:wordWrap/>
        <w:overflowPunct/>
        <w:topLinePunct w:val="0"/>
        <w:autoSpaceDE/>
        <w:autoSpaceDN/>
        <w:bidi w:val="0"/>
        <w:ind w:left="140" w:hanging="140"/>
        <w:rPr>
          <w:rFonts w:hint="eastAsia" w:ascii="仿宋_GB2312" w:hAnsi="宋体" w:eastAsia="仿宋_GB2312" w:cs="仿宋_GB2312"/>
          <w:kern w:val="1"/>
          <w:sz w:val="32"/>
          <w:szCs w:val="32"/>
        </w:rPr>
      </w:pPr>
      <w:r>
        <w:rPr>
          <w:rFonts w:hint="eastAsia" w:ascii="仿宋_GB2312" w:hAnsi="仿宋" w:eastAsia="仿宋_GB2312" w:cs="仿宋_GB2312"/>
          <w:sz w:val="32"/>
          <w:szCs w:val="32"/>
          <w:lang w:val="en-US" w:eastAsia="zh-CN"/>
        </w:rPr>
        <w:t>法定代表人：蔡英源</w:t>
      </w:r>
      <w:r>
        <w:rPr>
          <w:rFonts w:hint="eastAsia" w:ascii="仿宋_GB2312" w:hAnsi="宋体" w:eastAsia="仿宋_GB2312" w:cs="仿宋_GB2312"/>
          <w:kern w:val="1"/>
          <w:sz w:val="32"/>
          <w:szCs w:val="32"/>
        </w:rPr>
        <w:t xml:space="preserve">  </w:t>
      </w:r>
    </w:p>
    <w:p>
      <w:pPr>
        <w:keepNext w:val="0"/>
        <w:keepLines w:val="0"/>
        <w:pageBreakBefore w:val="0"/>
        <w:widowControl w:val="0"/>
        <w:kinsoku/>
        <w:wordWrap/>
        <w:overflowPunct/>
        <w:topLinePunct w:val="0"/>
        <w:autoSpaceDE/>
        <w:autoSpaceDN/>
        <w:bidi w:val="0"/>
        <w:rPr>
          <w:rFonts w:hint="eastAsia" w:ascii="仿宋_GB2312" w:hAnsi="仿宋" w:eastAsia="仿宋_GB2312" w:cs="仿宋_GB2312"/>
          <w:sz w:val="32"/>
          <w:szCs w:val="32"/>
        </w:rPr>
      </w:pPr>
      <w:r>
        <w:rPr>
          <w:rFonts w:hint="eastAsia" w:ascii="仿宋_GB2312" w:hAnsi="仿宋" w:eastAsia="仿宋_GB2312" w:cs="仿宋_GB2312"/>
          <w:sz w:val="32"/>
          <w:szCs w:val="32"/>
        </w:rPr>
        <w:t>身份证号码：352623</w:t>
      </w:r>
      <w:r>
        <w:rPr>
          <w:rFonts w:hint="eastAsia" w:ascii="仿宋" w:hAnsi="仿宋" w:eastAsia="仿宋" w:cs="仿宋"/>
          <w:spacing w:val="0"/>
          <w:w w:val="100"/>
          <w:sz w:val="32"/>
          <w:szCs w:val="32"/>
          <w:u w:val="none"/>
          <w:lang w:val="en-US" w:eastAsia="zh-CN"/>
        </w:rPr>
        <w:t>************</w:t>
      </w:r>
      <w:r>
        <w:rPr>
          <w:rFonts w:hint="eastAsia" w:ascii="仿宋" w:hAnsi="仿宋" w:eastAsia="仿宋" w:cs="仿宋"/>
          <w:spacing w:val="0"/>
          <w:w w:val="100"/>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lang w:val="en-US" w:eastAsia="zh-CN"/>
        </w:rPr>
      </w:pPr>
      <w:r>
        <w:rPr>
          <w:rFonts w:hint="eastAsia" w:ascii="仿宋_GB2312" w:hAnsi="仿宋" w:eastAsia="仿宋_GB2312" w:cs="仿宋_GB2312"/>
          <w:sz w:val="32"/>
          <w:szCs w:val="32"/>
          <w:lang w:val="en-US" w:eastAsia="zh-CN"/>
        </w:rPr>
        <w:t>2025</w:t>
      </w:r>
      <w:bookmarkStart w:id="0" w:name="_GoBack"/>
      <w:bookmarkEnd w:id="0"/>
      <w:r>
        <w:rPr>
          <w:rFonts w:hint="eastAsia" w:ascii="仿宋_GB2312" w:hAnsi="仿宋" w:eastAsia="仿宋_GB2312" w:cs="仿宋_GB2312"/>
          <w:sz w:val="32"/>
          <w:szCs w:val="32"/>
          <w:lang w:val="en-US" w:eastAsia="zh-CN"/>
        </w:rPr>
        <w:t>年4月15日执法人员依法对位于晋江市东石镇龙下村东龙路*号的晋江健平诊所有限公司进行检查，检查时该诊所正在营业中，持有营业执照和诊所备案凭证，现场医生赵明和护士沈微微正在为病人诊疗、输液，现场只能提供医生赵明的健康体检证明，无法提供护士沈微微的健康体检证明；现场发现当事人药房柜台上陈列有说明书标明置阴凉处（不超过20℃）贮存的保济口服液及小二氨酚那敏颗粒等药品，现场温度计显示实时温度24℃，药房里未设置空调等设备。当事人直接接触无菌医疗器械的沈微微未按规定进行年度健康检查违反了《福建省药品和医疗器械流通监督管理办法》第二十七条规定、当事人未按药品说明书标明的条件储存药品违反了《药品经营和使用质量监督管理办法》第五十四条规定，</w:t>
      </w:r>
      <w:r>
        <w:rPr>
          <w:rFonts w:hint="eastAsia" w:ascii="仿宋_GB2312" w:hAnsi="仿宋" w:eastAsia="仿宋_GB2312" w:cs="仿宋_GB2312"/>
          <w:sz w:val="32"/>
          <w:szCs w:val="32"/>
        </w:rPr>
        <w:t>本局依法于202</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4</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17</w:t>
      </w:r>
      <w:r>
        <w:rPr>
          <w:rFonts w:hint="eastAsia" w:ascii="仿宋_GB2312" w:hAnsi="仿宋" w:eastAsia="仿宋_GB2312" w:cs="仿宋_GB2312"/>
          <w:sz w:val="32"/>
          <w:szCs w:val="32"/>
        </w:rPr>
        <w:t>日对当事人予以立案调查。</w:t>
      </w:r>
      <w:r>
        <w:rPr>
          <w:rFonts w:hint="eastAsia" w:ascii="仿宋_GB2312" w:hAnsi="仿宋" w:eastAsia="仿宋_GB2312" w:cs="仿宋_GB2312"/>
          <w:kern w:val="2"/>
          <w:sz w:val="32"/>
          <w:szCs w:val="32"/>
          <w:lang w:val="en-US" w:eastAsia="zh-CN"/>
        </w:rPr>
        <w:t>执法人员对</w:t>
      </w:r>
      <w:r>
        <w:rPr>
          <w:rFonts w:hint="eastAsia" w:ascii="仿宋_GB2312" w:hAnsi="仿宋" w:eastAsia="仿宋_GB2312" w:cs="仿宋_GB2312"/>
          <w:sz w:val="32"/>
          <w:szCs w:val="32"/>
          <w:lang w:val="en-US" w:eastAsia="zh-CN"/>
        </w:rPr>
        <w:t>蔡英源</w:t>
      </w:r>
      <w:r>
        <w:rPr>
          <w:rFonts w:hint="eastAsia" w:ascii="仿宋_GB2312" w:hAnsi="宋体" w:eastAsia="仿宋_GB2312" w:cs="仿宋_GB2312"/>
          <w:kern w:val="1"/>
          <w:sz w:val="32"/>
          <w:szCs w:val="32"/>
          <w:lang w:eastAsia="zh-CN"/>
        </w:rPr>
        <w:t>进行询问调查</w:t>
      </w:r>
      <w:r>
        <w:rPr>
          <w:rFonts w:hint="eastAsia" w:ascii="仿宋_GB2312" w:hAnsi="宋体" w:eastAsia="仿宋_GB2312" w:cs="仿宋_GB2312"/>
          <w:kern w:val="1"/>
          <w:sz w:val="32"/>
          <w:szCs w:val="32"/>
          <w:lang w:val="en-US" w:eastAsia="zh-CN"/>
        </w:rPr>
        <w:t>,</w:t>
      </w:r>
      <w:r>
        <w:rPr>
          <w:rFonts w:hint="eastAsia" w:ascii="仿宋_GB2312" w:hAnsi="宋体" w:eastAsia="仿宋_GB2312" w:cs="仿宋_GB2312"/>
          <w:kern w:val="1"/>
          <w:sz w:val="32"/>
          <w:szCs w:val="32"/>
          <w:lang w:eastAsia="zh-CN"/>
        </w:rPr>
        <w:t>当事人向本局提交了相关证明材料</w:t>
      </w:r>
      <w:r>
        <w:rPr>
          <w:rFonts w:hint="eastAsia" w:ascii="仿宋_GB2312" w:hAnsi="仿宋" w:eastAsia="仿宋_GB2312" w:cs="仿宋_GB2312"/>
          <w:kern w:val="2"/>
          <w:sz w:val="32"/>
          <w:szCs w:val="32"/>
          <w:lang w:val="en-US" w:eastAsia="zh-CN"/>
        </w:rPr>
        <w:t>，</w:t>
      </w:r>
      <w:r>
        <w:rPr>
          <w:rFonts w:hint="eastAsia" w:ascii="仿宋_GB2312" w:hAnsi="宋体" w:eastAsia="仿宋_GB2312" w:cs="仿宋_GB2312"/>
          <w:kern w:val="1"/>
          <w:sz w:val="32"/>
          <w:szCs w:val="32"/>
          <w:lang w:eastAsia="zh-CN"/>
        </w:rPr>
        <w:t>执法人员围绕当事人涉嫌</w:t>
      </w:r>
      <w:r>
        <w:rPr>
          <w:rFonts w:hint="eastAsia" w:ascii="仿宋_GB2312" w:hAnsi="仿宋" w:eastAsia="仿宋_GB2312" w:cs="仿宋_GB2312"/>
          <w:sz w:val="32"/>
          <w:szCs w:val="32"/>
          <w:lang w:val="en-US" w:eastAsia="zh-CN"/>
        </w:rPr>
        <w:t>未按药品说明书标明的条件储存药品、直接接触无菌医疗器械的人员未按规定进行年度健康检查</w:t>
      </w:r>
      <w:r>
        <w:rPr>
          <w:rFonts w:hint="eastAsia" w:ascii="仿宋_GB2312" w:hAnsi="仿宋" w:eastAsia="仿宋_GB2312" w:cs="仿宋_GB2312"/>
          <w:color w:val="000000"/>
          <w:sz w:val="32"/>
          <w:szCs w:val="32"/>
          <w:lang w:eastAsia="zh-CN"/>
        </w:rPr>
        <w:t>的违法行为收集相关证据材料，确定其违法事实，</w:t>
      </w:r>
      <w:r>
        <w:rPr>
          <w:rFonts w:hint="eastAsia" w:ascii="仿宋_GB2312" w:hAnsi="仿宋" w:eastAsia="仿宋_GB2312" w:cs="仿宋_GB2312"/>
          <w:color w:val="000000"/>
          <w:sz w:val="32"/>
          <w:szCs w:val="32"/>
          <w:lang w:val="en-US" w:eastAsia="zh-CN"/>
        </w:rPr>
        <w:t>2025年4月22日案件调查终结。</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0"/>
          <w:szCs w:val="30"/>
          <w:u w:val="single"/>
          <w:lang w:val="en-US" w:eastAsia="zh-CN"/>
        </w:rPr>
      </w:pPr>
      <w:r>
        <w:rPr>
          <w:rFonts w:hint="eastAsia" w:ascii="仿宋_GB2312" w:hAnsi="仿宋" w:eastAsia="仿宋_GB2312" w:cs="仿宋_GB2312"/>
          <w:sz w:val="32"/>
          <w:szCs w:val="32"/>
          <w:lang w:val="en-US" w:eastAsia="zh-CN"/>
        </w:rPr>
        <w:t>经查，当事人已办理《营业执照》和《诊所备案凭证》（备案编号：PDY36194X35058217D2192；名称：晋江东石健平内科诊所，地址：晋江市东石镇龙下村东龙路124-19号，法定代表人：蔡英源，主要负责人：雷霞）并开展诊疗、输液等项目。当事人直接接触无菌医疗器械的护士沈微微未按规定进行年度健康检查；说明书标明置阴凉处（不超过20℃）贮存的保济口服液及小二氨酚那敏颗粒等药品陈列于药房柜台上，现场温度计显示实时温度24℃，未制定并执行药品储存、养护制度，确保药品储存符合药品说明书标明的条件。</w:t>
      </w:r>
    </w:p>
    <w:p>
      <w:pPr>
        <w:keepNext w:val="0"/>
        <w:keepLines w:val="0"/>
        <w:pageBreakBefore w:val="0"/>
        <w:widowControl w:val="0"/>
        <w:kinsoku/>
        <w:wordWrap/>
        <w:overflowPunct/>
        <w:topLinePunct w:val="0"/>
        <w:autoSpaceDE/>
        <w:autoSpaceDN/>
        <w:bidi w:val="0"/>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上述事实，主要有以下证据证明：</w:t>
      </w:r>
    </w:p>
    <w:p>
      <w:pPr>
        <w:keepNext w:val="0"/>
        <w:keepLines w:val="0"/>
        <w:pageBreakBefore w:val="0"/>
        <w:widowControl w:val="0"/>
        <w:kinsoku/>
        <w:wordWrap/>
        <w:overflowPunct/>
        <w:topLinePunct w:val="0"/>
        <w:autoSpaceDE/>
        <w:autoSpaceDN/>
        <w:bidi w:val="0"/>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现场检查笔录</w:t>
      </w:r>
      <w:r>
        <w:rPr>
          <w:rFonts w:hint="eastAsia" w:ascii="仿宋_GB2312" w:hAnsi="仿宋" w:eastAsia="仿宋_GB2312" w:cs="仿宋_GB2312"/>
          <w:sz w:val="32"/>
          <w:szCs w:val="32"/>
          <w:lang w:eastAsia="zh-CN"/>
        </w:rPr>
        <w:t>；</w:t>
      </w:r>
      <w:r>
        <w:rPr>
          <w:rFonts w:hint="eastAsia" w:ascii="仿宋_GB2312" w:hAnsi="仿宋" w:eastAsia="仿宋_GB2312" w:cs="仿宋_GB2312"/>
          <w:kern w:val="2"/>
          <w:sz w:val="32"/>
          <w:szCs w:val="32"/>
        </w:rPr>
        <w:t>当事</w:t>
      </w:r>
      <w:r>
        <w:rPr>
          <w:rFonts w:hint="eastAsia" w:ascii="仿宋_GB2312" w:hAnsi="仿宋" w:eastAsia="仿宋_GB2312" w:cs="仿宋_GB2312"/>
          <w:kern w:val="2"/>
          <w:sz w:val="32"/>
          <w:szCs w:val="32"/>
          <w:lang w:val="zh-CN"/>
        </w:rPr>
        <w:t>人</w:t>
      </w:r>
      <w:r>
        <w:rPr>
          <w:rFonts w:hint="eastAsia" w:ascii="仿宋_GB2312" w:hAnsi="仿宋" w:eastAsia="仿宋_GB2312" w:cs="仿宋_GB2312"/>
          <w:kern w:val="2"/>
          <w:sz w:val="32"/>
          <w:szCs w:val="32"/>
          <w:lang w:val="zh-CN" w:eastAsia="zh-CN"/>
        </w:rPr>
        <w:t>营业执照、诊所备案凭证</w:t>
      </w:r>
      <w:r>
        <w:rPr>
          <w:rFonts w:hint="eastAsia" w:ascii="仿宋_GB2312" w:hAnsi="仿宋" w:eastAsia="仿宋_GB2312" w:cs="仿宋_GB2312"/>
          <w:kern w:val="2"/>
          <w:sz w:val="32"/>
          <w:szCs w:val="32"/>
          <w:lang w:val="zh-CN"/>
        </w:rPr>
        <w:t>复</w:t>
      </w:r>
      <w:r>
        <w:rPr>
          <w:rFonts w:hint="eastAsia" w:ascii="仿宋_GB2312" w:hAnsi="仿宋" w:eastAsia="仿宋_GB2312" w:cs="仿宋_GB2312"/>
          <w:kern w:val="2"/>
          <w:sz w:val="32"/>
          <w:szCs w:val="32"/>
        </w:rPr>
        <w:t>印件、</w:t>
      </w:r>
      <w:r>
        <w:rPr>
          <w:rFonts w:hint="eastAsia" w:ascii="仿宋_GB2312" w:hAnsi="仿宋" w:eastAsia="仿宋_GB2312" w:cs="仿宋_GB2312"/>
          <w:kern w:val="2"/>
          <w:sz w:val="32"/>
          <w:szCs w:val="32"/>
          <w:lang w:eastAsia="zh-CN"/>
        </w:rPr>
        <w:t>法定代表</w:t>
      </w:r>
      <w:r>
        <w:rPr>
          <w:rFonts w:hint="eastAsia" w:ascii="仿宋_GB2312" w:hAnsi="仿宋" w:eastAsia="仿宋_GB2312" w:cs="仿宋_GB2312"/>
          <w:kern w:val="2"/>
          <w:sz w:val="32"/>
          <w:szCs w:val="32"/>
        </w:rPr>
        <w:t>人身份证复印件</w:t>
      </w:r>
      <w:r>
        <w:rPr>
          <w:rFonts w:hint="eastAsia" w:ascii="仿宋_GB2312" w:hAnsi="仿宋" w:eastAsia="仿宋_GB2312" w:cs="仿宋_GB2312"/>
          <w:sz w:val="32"/>
          <w:szCs w:val="32"/>
        </w:rPr>
        <w:t>；</w:t>
      </w:r>
      <w:r>
        <w:rPr>
          <w:rFonts w:hint="eastAsia" w:ascii="仿宋_GB2312" w:hAnsi="仿宋" w:eastAsia="仿宋_GB2312" w:cs="仿宋_GB2312"/>
          <w:kern w:val="2"/>
          <w:sz w:val="32"/>
          <w:szCs w:val="32"/>
        </w:rPr>
        <w:t>现场照片、询问笔录</w:t>
      </w:r>
      <w:r>
        <w:rPr>
          <w:rFonts w:hint="eastAsia" w:ascii="仿宋_GB2312" w:hAnsi="仿宋" w:eastAsia="仿宋_GB2312" w:cs="仿宋_GB2312"/>
          <w:sz w:val="32"/>
          <w:szCs w:val="32"/>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6</w:t>
      </w:r>
      <w:r>
        <w:rPr>
          <w:rFonts w:hint="eastAsia" w:ascii="仿宋_GB2312" w:hAnsi="宋体" w:eastAsia="仿宋_GB2312" w:cs="仿宋_GB2312"/>
          <w:sz w:val="32"/>
          <w:szCs w:val="32"/>
        </w:rPr>
        <w:t>日，本局向当事人</w:t>
      </w:r>
      <w:r>
        <w:rPr>
          <w:rFonts w:hint="eastAsia" w:ascii="仿宋_GB2312" w:hAnsi="宋体" w:eastAsia="仿宋_GB2312" w:cs="仿宋_GB2312"/>
          <w:sz w:val="32"/>
          <w:szCs w:val="32"/>
          <w:lang w:eastAsia="zh-CN"/>
        </w:rPr>
        <w:t>直接</w:t>
      </w:r>
      <w:r>
        <w:rPr>
          <w:rFonts w:hint="eastAsia" w:ascii="仿宋_GB2312" w:hAnsi="宋体" w:eastAsia="仿宋_GB2312" w:cs="仿宋_GB2312"/>
          <w:sz w:val="32"/>
          <w:szCs w:val="32"/>
        </w:rPr>
        <w:t>送达《行政处罚告知书》（晋市监罚告〔202</w:t>
      </w:r>
      <w:r>
        <w:rPr>
          <w:rFonts w:hint="eastAsia" w:ascii="仿宋_GB2312" w:hAnsi="宋体" w:eastAsia="仿宋_GB2312" w:cs="仿宋_GB2312"/>
          <w:sz w:val="32"/>
          <w:szCs w:val="32"/>
          <w:lang w:val="en-US" w:eastAsia="zh-CN"/>
        </w:rPr>
        <w:t>5</w:t>
      </w:r>
      <w:r>
        <w:rPr>
          <w:rFonts w:hint="eastAsia" w:ascii="仿宋_GB2312" w:hAnsi="宋体" w:eastAsia="仿宋_GB2312" w:cs="仿宋_GB2312"/>
          <w:sz w:val="32"/>
          <w:szCs w:val="32"/>
        </w:rPr>
        <w:t>〕21-</w:t>
      </w:r>
      <w:r>
        <w:rPr>
          <w:rFonts w:hint="eastAsia" w:ascii="仿宋_GB2312" w:hAnsi="宋体" w:eastAsia="仿宋_GB2312" w:cs="仿宋_GB2312"/>
          <w:sz w:val="32"/>
          <w:szCs w:val="32"/>
          <w:lang w:val="en-US" w:eastAsia="zh-CN"/>
        </w:rPr>
        <w:t>19</w:t>
      </w:r>
      <w:r>
        <w:rPr>
          <w:rFonts w:hint="eastAsia" w:ascii="仿宋_GB2312" w:hAnsi="宋体" w:eastAsia="仿宋_GB2312" w:cs="仿宋_GB2312"/>
          <w:sz w:val="32"/>
          <w:szCs w:val="32"/>
        </w:rPr>
        <w:t>号），</w:t>
      </w:r>
      <w:r>
        <w:rPr>
          <w:rFonts w:hint="eastAsia" w:ascii="仿宋_GB2312" w:hAnsi="宋体" w:eastAsia="仿宋_GB2312" w:cs="仿宋_GB2312"/>
          <w:sz w:val="32"/>
          <w:szCs w:val="32"/>
          <w:lang w:eastAsia="zh-CN"/>
        </w:rPr>
        <w:t>告知当事人拟作出的行政处罚内容以及事实、理由、依据，并告知当事人依法享有陈述、</w:t>
      </w:r>
      <w:r>
        <w:rPr>
          <w:rFonts w:hint="eastAsia" w:ascii="仿宋_GB2312" w:hAnsi="宋体" w:eastAsia="仿宋_GB2312" w:cs="仿宋_GB2312"/>
          <w:sz w:val="32"/>
          <w:szCs w:val="32"/>
        </w:rPr>
        <w:t>申辩</w:t>
      </w:r>
      <w:r>
        <w:rPr>
          <w:rFonts w:hint="eastAsia" w:ascii="仿宋_GB2312" w:hAnsi="宋体" w:eastAsia="仿宋_GB2312" w:cs="仿宋_GB2312"/>
          <w:sz w:val="32"/>
          <w:szCs w:val="32"/>
          <w:lang w:eastAsia="zh-CN"/>
        </w:rPr>
        <w:t>、和要求听证的权利。</w:t>
      </w:r>
      <w:r>
        <w:rPr>
          <w:rFonts w:hint="eastAsia" w:ascii="仿宋_GB2312" w:hAnsi="宋体" w:eastAsia="仿宋_GB2312" w:cs="仿宋_GB2312"/>
          <w:sz w:val="32"/>
          <w:szCs w:val="32"/>
        </w:rPr>
        <w:t>当事人在法定期限内未提出</w:t>
      </w:r>
      <w:r>
        <w:rPr>
          <w:rFonts w:hint="eastAsia" w:ascii="仿宋_GB2312" w:hAnsi="宋体" w:eastAsia="仿宋_GB2312" w:cs="仿宋_GB2312"/>
          <w:sz w:val="32"/>
          <w:szCs w:val="32"/>
          <w:lang w:eastAsia="zh-CN"/>
        </w:rPr>
        <w:t>听证要求，也未提出</w:t>
      </w:r>
      <w:r>
        <w:rPr>
          <w:rFonts w:hint="eastAsia" w:ascii="仿宋_GB2312" w:hAnsi="宋体" w:eastAsia="仿宋_GB2312" w:cs="仿宋_GB2312"/>
          <w:sz w:val="32"/>
          <w:szCs w:val="32"/>
        </w:rPr>
        <w:t>陈述、申辩意见。</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lang w:eastAsia="zh-CN"/>
        </w:rPr>
      </w:pPr>
      <w:r>
        <w:rPr>
          <w:rFonts w:hint="eastAsia" w:ascii="仿宋_GB2312" w:hAnsi="仿宋" w:eastAsia="仿宋_GB2312" w:cs="仿宋_GB2312"/>
          <w:kern w:val="2"/>
          <w:sz w:val="32"/>
          <w:szCs w:val="32"/>
          <w:lang w:eastAsia="zh-CN"/>
        </w:rPr>
        <w:t>本局认为，</w:t>
      </w:r>
      <w:r>
        <w:rPr>
          <w:rFonts w:hint="eastAsia" w:ascii="仿宋_GB2312" w:hAnsi="仿宋" w:eastAsia="仿宋_GB2312" w:cs="仿宋_GB2312"/>
          <w:kern w:val="2"/>
          <w:sz w:val="32"/>
          <w:szCs w:val="32"/>
        </w:rPr>
        <w:t>当事人</w:t>
      </w:r>
      <w:r>
        <w:rPr>
          <w:rFonts w:hint="eastAsia" w:ascii="仿宋_GB2312" w:hAnsi="仿宋" w:eastAsia="仿宋_GB2312" w:cs="仿宋_GB2312"/>
          <w:sz w:val="32"/>
          <w:szCs w:val="32"/>
          <w:lang w:val="en-US" w:eastAsia="zh-CN"/>
        </w:rPr>
        <w:t>直接接触无菌医疗器械的人员未按规定进行年度健康检查</w:t>
      </w:r>
      <w:r>
        <w:rPr>
          <w:rFonts w:hint="eastAsia" w:ascii="仿宋_GB2312" w:hAnsi="仿宋" w:eastAsia="仿宋_GB2312" w:cs="仿宋_GB2312"/>
          <w:color w:val="000000"/>
          <w:sz w:val="32"/>
          <w:szCs w:val="32"/>
        </w:rPr>
        <w:t>，违反</w:t>
      </w:r>
      <w:r>
        <w:rPr>
          <w:rFonts w:hint="eastAsia" w:ascii="仿宋_GB2312" w:hAnsi="仿宋" w:eastAsia="仿宋_GB2312" w:cs="仿宋_GB2312"/>
          <w:sz w:val="32"/>
          <w:szCs w:val="32"/>
          <w:lang w:val="en-US" w:eastAsia="zh-CN"/>
        </w:rPr>
        <w:t>《福建省药品和医疗器械流通监督管理办法》第二十七条规定</w:t>
      </w:r>
      <w:r>
        <w:rPr>
          <w:rFonts w:hint="eastAsia" w:ascii="仿宋_GB2312" w:hAnsi="仿宋" w:eastAsia="仿宋_GB2312" w:cs="仿宋_GB2312"/>
          <w:kern w:val="2"/>
          <w:sz w:val="32"/>
          <w:szCs w:val="32"/>
          <w:lang w:val="en-US" w:eastAsia="zh-CN"/>
        </w:rPr>
        <w:t>,</w:t>
      </w:r>
      <w:r>
        <w:rPr>
          <w:rFonts w:hint="eastAsia" w:ascii="仿宋_GB2312" w:hAnsi="仿宋" w:eastAsia="仿宋_GB2312" w:cs="仿宋_GB2312"/>
          <w:kern w:val="2"/>
          <w:sz w:val="32"/>
          <w:szCs w:val="32"/>
        </w:rPr>
        <w:t>应当依</w:t>
      </w:r>
      <w:r>
        <w:rPr>
          <w:rFonts w:hint="eastAsia" w:ascii="仿宋_GB2312" w:hAnsi="仿宋" w:eastAsia="仿宋_GB2312" w:cs="仿宋_GB2312"/>
          <w:color w:val="000000"/>
          <w:sz w:val="32"/>
          <w:szCs w:val="32"/>
        </w:rPr>
        <w:t>据</w:t>
      </w:r>
      <w:r>
        <w:rPr>
          <w:rFonts w:hint="eastAsia" w:ascii="仿宋_GB2312" w:hAnsi="仿宋" w:eastAsia="仿宋_GB2312" w:cs="仿宋_GB2312"/>
          <w:sz w:val="32"/>
          <w:szCs w:val="32"/>
          <w:lang w:val="en-US" w:eastAsia="zh-CN"/>
        </w:rPr>
        <w:t>《福建省药品和医疗器械流通监督管理办法》第四十条第三项</w:t>
      </w:r>
      <w:r>
        <w:rPr>
          <w:rFonts w:hint="eastAsia" w:ascii="仿宋_GB2312" w:hAnsi="仿宋" w:eastAsia="仿宋_GB2312" w:cs="仿宋_GB2312"/>
          <w:kern w:val="2"/>
          <w:sz w:val="32"/>
          <w:szCs w:val="32"/>
        </w:rPr>
        <w:t>的规定予以行政处罚；</w:t>
      </w:r>
      <w:r>
        <w:rPr>
          <w:rFonts w:hint="eastAsia" w:ascii="仿宋_GB2312" w:hAnsi="仿宋" w:eastAsia="仿宋_GB2312" w:cs="仿宋_GB2312"/>
          <w:color w:val="000000"/>
          <w:sz w:val="32"/>
          <w:szCs w:val="32"/>
        </w:rPr>
        <w:t>当事人</w:t>
      </w:r>
      <w:r>
        <w:rPr>
          <w:rFonts w:hint="eastAsia" w:ascii="仿宋_GB2312" w:hAnsi="仿宋" w:eastAsia="仿宋_GB2312" w:cs="仿宋_GB2312"/>
          <w:sz w:val="32"/>
          <w:szCs w:val="32"/>
          <w:lang w:val="en-US" w:eastAsia="zh-CN"/>
        </w:rPr>
        <w:t>未制定并执行药品储存、养护制度，确保药品储存符合药品说明书标明的条件</w:t>
      </w:r>
      <w:r>
        <w:rPr>
          <w:rFonts w:hint="eastAsia" w:ascii="仿宋_GB2312" w:hAnsi="仿宋" w:eastAsia="仿宋_GB2312" w:cs="仿宋_GB2312"/>
          <w:color w:val="000000"/>
          <w:sz w:val="32"/>
          <w:szCs w:val="32"/>
          <w:lang w:eastAsia="zh-CN"/>
        </w:rPr>
        <w:t>，违反</w:t>
      </w:r>
      <w:r>
        <w:rPr>
          <w:rFonts w:hint="eastAsia" w:ascii="仿宋_GB2312" w:hAnsi="仿宋" w:eastAsia="仿宋_GB2312" w:cs="仿宋_GB2312"/>
          <w:sz w:val="32"/>
          <w:szCs w:val="32"/>
          <w:lang w:val="en-US" w:eastAsia="zh-CN"/>
        </w:rPr>
        <w:t>《药品经营和使用质量监督管理办法》第五十四条规定</w:t>
      </w:r>
      <w:r>
        <w:rPr>
          <w:rFonts w:hint="eastAsia" w:ascii="仿宋_GB2312" w:hAnsi="仿宋" w:eastAsia="仿宋_GB2312" w:cs="仿宋_GB2312"/>
          <w:kern w:val="2"/>
          <w:sz w:val="32"/>
          <w:szCs w:val="32"/>
          <w:lang w:val="en-US" w:eastAsia="zh-CN"/>
        </w:rPr>
        <w:t>,</w:t>
      </w:r>
      <w:r>
        <w:rPr>
          <w:rFonts w:hint="eastAsia" w:ascii="仿宋_GB2312" w:hAnsi="仿宋" w:eastAsia="仿宋_GB2312" w:cs="仿宋_GB2312"/>
          <w:kern w:val="2"/>
          <w:sz w:val="32"/>
          <w:szCs w:val="32"/>
        </w:rPr>
        <w:t>应当依</w:t>
      </w:r>
      <w:r>
        <w:rPr>
          <w:rFonts w:hint="eastAsia" w:ascii="仿宋_GB2312" w:hAnsi="仿宋" w:eastAsia="仿宋_GB2312" w:cs="仿宋_GB2312"/>
          <w:color w:val="000000"/>
          <w:sz w:val="32"/>
          <w:szCs w:val="32"/>
        </w:rPr>
        <w:t>据</w:t>
      </w:r>
      <w:r>
        <w:rPr>
          <w:rFonts w:hint="eastAsia" w:ascii="仿宋_GB2312" w:hAnsi="仿宋" w:eastAsia="仿宋_GB2312" w:cs="仿宋_GB2312"/>
          <w:sz w:val="32"/>
          <w:szCs w:val="32"/>
          <w:lang w:val="en-US" w:eastAsia="zh-CN"/>
        </w:rPr>
        <w:t>《药品经营和使用质量监督管理办法》第七十三条</w:t>
      </w:r>
      <w:r>
        <w:rPr>
          <w:rFonts w:hint="eastAsia" w:ascii="仿宋_GB2312" w:hAnsi="仿宋" w:eastAsia="仿宋_GB2312" w:cs="仿宋_GB2312"/>
          <w:kern w:val="2"/>
          <w:sz w:val="32"/>
          <w:szCs w:val="32"/>
        </w:rPr>
        <w:t>的规定予以行政处罚</w:t>
      </w:r>
      <w:r>
        <w:rPr>
          <w:rFonts w:hint="eastAsia" w:ascii="仿宋_GB2312" w:hAnsi="仿宋" w:eastAsia="仿宋_GB2312" w:cs="仿宋_GB2312"/>
          <w:kern w:val="2"/>
          <w:sz w:val="32"/>
          <w:szCs w:val="32"/>
          <w:lang w:eastAsia="zh-CN"/>
        </w:rPr>
        <w:t>。</w:t>
      </w:r>
    </w:p>
    <w:p>
      <w:pPr>
        <w:keepNext w:val="0"/>
        <w:keepLines w:val="0"/>
        <w:pageBreakBefore w:val="0"/>
        <w:widowControl w:val="0"/>
        <w:kinsoku/>
        <w:wordWrap/>
        <w:overflowPunct/>
        <w:topLinePunct w:val="0"/>
        <w:autoSpaceDE/>
        <w:autoSpaceDN/>
        <w:bidi w:val="0"/>
        <w:adjustRightInd w:val="0"/>
        <w:snapToGrid/>
        <w:spacing w:line="240" w:lineRule="auto"/>
        <w:ind w:firstLine="640" w:firstLineChars="200"/>
        <w:textAlignment w:val="baseline"/>
        <w:rPr>
          <w:rFonts w:hint="eastAsia" w:ascii="仿宋_GB2312" w:hAnsi="仿宋" w:eastAsia="仿宋_GB2312" w:cs="仿宋_GB2312"/>
          <w:kern w:val="2"/>
          <w:sz w:val="32"/>
          <w:szCs w:val="32"/>
        </w:rPr>
      </w:pPr>
      <w:r>
        <w:rPr>
          <w:rFonts w:hint="eastAsia" w:ascii="仿宋_GB2312" w:hAnsi="仿宋" w:eastAsia="仿宋_GB2312" w:cs="仿宋_GB2312"/>
          <w:color w:val="000000"/>
          <w:sz w:val="32"/>
          <w:szCs w:val="32"/>
        </w:rPr>
        <w:t>鉴于</w:t>
      </w:r>
      <w:r>
        <w:rPr>
          <w:rFonts w:ascii="仿宋_GB2312" w:hAnsi="仿宋" w:eastAsia="仿宋_GB2312" w:cs="仿宋_GB2312"/>
          <w:color w:val="000000"/>
          <w:sz w:val="32"/>
          <w:szCs w:val="32"/>
        </w:rPr>
        <w:t>当事人积极配合</w:t>
      </w:r>
      <w:r>
        <w:rPr>
          <w:rFonts w:hint="eastAsia" w:ascii="仿宋_GB2312" w:hAnsi="仿宋" w:eastAsia="仿宋_GB2312" w:cs="仿宋_GB2312"/>
          <w:color w:val="000000"/>
          <w:sz w:val="32"/>
          <w:szCs w:val="32"/>
        </w:rPr>
        <w:t>药品</w:t>
      </w:r>
      <w:r>
        <w:rPr>
          <w:rFonts w:ascii="仿宋_GB2312" w:hAnsi="仿宋" w:eastAsia="仿宋_GB2312" w:cs="仿宋_GB2312"/>
          <w:color w:val="000000"/>
          <w:sz w:val="32"/>
          <w:szCs w:val="32"/>
        </w:rPr>
        <w:t>监督管理部门调查并主动提供证据材料，</w:t>
      </w:r>
      <w:r>
        <w:rPr>
          <w:rFonts w:hint="eastAsia" w:ascii="仿宋_GB2312" w:hAnsi="仿宋" w:eastAsia="仿宋_GB2312" w:cs="仿宋_GB2312"/>
          <w:kern w:val="2"/>
          <w:sz w:val="32"/>
          <w:szCs w:val="32"/>
        </w:rPr>
        <w:t>属于《福建省药品监管行政处罚裁量适用细则》第十</w:t>
      </w:r>
      <w:r>
        <w:rPr>
          <w:rFonts w:hint="eastAsia" w:ascii="仿宋_GB2312" w:hAnsi="仿宋" w:eastAsia="仿宋_GB2312" w:cs="仿宋_GB2312"/>
          <w:color w:val="000000"/>
          <w:sz w:val="32"/>
          <w:szCs w:val="32"/>
        </w:rPr>
        <w:t>一条第一款第（二）项</w:t>
      </w:r>
      <w:r>
        <w:rPr>
          <w:rFonts w:ascii="仿宋_GB2312" w:hAnsi="仿宋" w:eastAsia="仿宋_GB2312" w:cs="仿宋_GB2312"/>
          <w:color w:val="000000"/>
          <w:sz w:val="32"/>
          <w:szCs w:val="32"/>
        </w:rPr>
        <w:t>可以依法从轻或者减轻行政处罚</w:t>
      </w:r>
      <w:r>
        <w:rPr>
          <w:rFonts w:hint="eastAsia" w:ascii="仿宋_GB2312" w:hAnsi="仿宋" w:eastAsia="仿宋_GB2312" w:cs="仿宋_GB2312"/>
          <w:color w:val="000000"/>
          <w:sz w:val="32"/>
          <w:szCs w:val="32"/>
        </w:rPr>
        <w:t>的情形，</w:t>
      </w:r>
      <w:r>
        <w:rPr>
          <w:rFonts w:ascii="仿宋_GB2312" w:hAnsi="仿宋" w:eastAsia="仿宋_GB2312" w:cs="仿宋_GB2312"/>
          <w:color w:val="000000"/>
          <w:sz w:val="32"/>
          <w:szCs w:val="32"/>
        </w:rPr>
        <w:t>依法予以从轻处罚</w:t>
      </w:r>
      <w:r>
        <w:rPr>
          <w:rFonts w:hint="eastAsia" w:ascii="仿宋_GB2312" w:hAnsi="仿宋" w:eastAsia="仿宋_GB2312" w:cs="仿宋_GB2312"/>
          <w:kern w:val="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一、对当事人</w:t>
      </w:r>
      <w:r>
        <w:rPr>
          <w:rFonts w:hint="eastAsia" w:ascii="仿宋_GB2312" w:hAnsi="仿宋" w:eastAsia="仿宋_GB2312" w:cs="仿宋_GB2312"/>
          <w:sz w:val="32"/>
          <w:szCs w:val="32"/>
          <w:lang w:val="en-US" w:eastAsia="zh-CN"/>
        </w:rPr>
        <w:t>直接接触无菌医疗器械的人员未按规定进行年度健康检查</w:t>
      </w:r>
      <w:r>
        <w:rPr>
          <w:rFonts w:hint="eastAsia" w:ascii="仿宋_GB2312" w:hAnsi="仿宋" w:eastAsia="仿宋_GB2312" w:cs="仿宋_GB2312"/>
          <w:sz w:val="32"/>
          <w:szCs w:val="32"/>
        </w:rPr>
        <w:t>行为，</w:t>
      </w:r>
      <w:r>
        <w:rPr>
          <w:rFonts w:hint="eastAsia" w:ascii="仿宋_GB2312" w:hAnsi="仿宋" w:eastAsia="仿宋_GB2312" w:cs="仿宋_GB2312"/>
          <w:sz w:val="32"/>
          <w:szCs w:val="32"/>
          <w:lang w:eastAsia="zh-CN"/>
        </w:rPr>
        <w:t>根据</w:t>
      </w:r>
      <w:r>
        <w:rPr>
          <w:rFonts w:hint="eastAsia" w:ascii="仿宋_GB2312" w:hAnsi="仿宋" w:eastAsia="仿宋_GB2312" w:cs="仿宋_GB2312"/>
          <w:sz w:val="32"/>
          <w:szCs w:val="32"/>
          <w:lang w:val="en-US" w:eastAsia="zh-CN"/>
        </w:rPr>
        <w:t>《福建省药品和医疗器械流通监督管理办法》第四十条第三项</w:t>
      </w:r>
      <w:r>
        <w:rPr>
          <w:rFonts w:hint="eastAsia" w:ascii="仿宋_GB2312" w:hAnsi="仿宋" w:eastAsia="仿宋_GB2312" w:cs="仿宋_GB2312"/>
          <w:kern w:val="2"/>
          <w:sz w:val="32"/>
          <w:szCs w:val="32"/>
        </w:rPr>
        <w:t>的规定，</w:t>
      </w:r>
      <w:r>
        <w:rPr>
          <w:rFonts w:hint="eastAsia" w:ascii="仿宋_GB2312" w:hAnsi="仿宋" w:eastAsia="仿宋_GB2312" w:cs="仿宋_GB2312"/>
          <w:kern w:val="2"/>
          <w:sz w:val="32"/>
          <w:szCs w:val="32"/>
          <w:lang w:eastAsia="zh-CN"/>
        </w:rPr>
        <w:t>决定</w:t>
      </w:r>
      <w:r>
        <w:rPr>
          <w:rFonts w:hint="eastAsia" w:ascii="仿宋_GB2312" w:hAnsi="仿宋" w:eastAsia="仿宋_GB2312" w:cs="仿宋_GB2312"/>
          <w:kern w:val="2"/>
          <w:sz w:val="32"/>
          <w:szCs w:val="32"/>
        </w:rPr>
        <w:t>对当事人作出处理如下：1、责令改正上述违法行为；2、</w:t>
      </w:r>
      <w:r>
        <w:rPr>
          <w:rFonts w:hint="eastAsia" w:ascii="仿宋_GB2312" w:hAnsi="仿宋" w:eastAsia="仿宋_GB2312" w:cs="仿宋_GB2312"/>
          <w:kern w:val="2"/>
          <w:sz w:val="32"/>
          <w:szCs w:val="32"/>
          <w:lang w:eastAsia="zh-CN"/>
        </w:rPr>
        <w:t>给予警告</w:t>
      </w:r>
      <w:r>
        <w:rPr>
          <w:rFonts w:hint="eastAsia" w:ascii="仿宋_GB2312" w:hAnsi="仿宋" w:eastAsia="仿宋_GB2312" w:cs="仿宋_GB2312"/>
          <w:sz w:val="32"/>
          <w:szCs w:val="32"/>
        </w:rPr>
        <w:t>；</w:t>
      </w:r>
      <w:r>
        <w:rPr>
          <w:rFonts w:hint="eastAsia" w:ascii="仿宋_GB2312" w:hAnsi="仿宋" w:eastAsia="仿宋_GB2312" w:cs="仿宋_GB2312"/>
          <w:kern w:val="2"/>
          <w:sz w:val="32"/>
          <w:szCs w:val="32"/>
        </w:rPr>
        <w:t>3、处以</w:t>
      </w:r>
      <w:r>
        <w:rPr>
          <w:rFonts w:hint="eastAsia" w:ascii="仿宋_GB2312" w:hAnsi="仿宋" w:eastAsia="仿宋_GB2312" w:cs="仿宋_GB2312"/>
          <w:kern w:val="2"/>
          <w:sz w:val="32"/>
          <w:szCs w:val="32"/>
          <w:lang w:val="en-US" w:eastAsia="zh-CN"/>
        </w:rPr>
        <w:t>21</w:t>
      </w:r>
      <w:r>
        <w:rPr>
          <w:rFonts w:hint="eastAsia" w:ascii="仿宋_GB2312" w:hAnsi="仿宋" w:eastAsia="仿宋_GB2312" w:cs="仿宋_GB2312"/>
          <w:kern w:val="2"/>
          <w:sz w:val="32"/>
          <w:szCs w:val="32"/>
        </w:rPr>
        <w:t>00元罚款。</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 w:eastAsia="仿宋_GB2312" w:cs="仿宋_GB2312"/>
          <w:kern w:val="2"/>
          <w:sz w:val="32"/>
          <w:szCs w:val="32"/>
        </w:rPr>
      </w:pPr>
      <w:r>
        <w:rPr>
          <w:rFonts w:hint="eastAsia" w:ascii="仿宋_GB2312" w:hAnsi="仿宋" w:eastAsia="仿宋_GB2312" w:cs="仿宋_GB2312"/>
          <w:kern w:val="2"/>
          <w:sz w:val="32"/>
          <w:szCs w:val="32"/>
        </w:rPr>
        <w:t>二、对</w:t>
      </w:r>
      <w:r>
        <w:rPr>
          <w:rFonts w:hint="eastAsia" w:ascii="仿宋_GB2312" w:hAnsi="仿宋" w:eastAsia="仿宋_GB2312" w:cs="仿宋_GB2312"/>
          <w:sz w:val="32"/>
          <w:szCs w:val="32"/>
        </w:rPr>
        <w:t>当事人</w:t>
      </w:r>
      <w:r>
        <w:rPr>
          <w:rFonts w:hint="eastAsia" w:ascii="仿宋_GB2312" w:hAnsi="仿宋" w:eastAsia="仿宋_GB2312" w:cs="仿宋_GB2312"/>
          <w:sz w:val="32"/>
          <w:szCs w:val="32"/>
          <w:lang w:val="en-US" w:eastAsia="zh-CN"/>
        </w:rPr>
        <w:t>未制定并执行药品储存、养护制度，确保药品储存符合药品说明书标明的条件</w:t>
      </w:r>
      <w:r>
        <w:rPr>
          <w:rFonts w:hint="eastAsia" w:ascii="仿宋_GB2312" w:hAnsi="仿宋" w:eastAsia="仿宋_GB2312" w:cs="仿宋_GB2312"/>
          <w:sz w:val="32"/>
          <w:szCs w:val="32"/>
        </w:rPr>
        <w:t>行为，根</w:t>
      </w:r>
      <w:r>
        <w:rPr>
          <w:rFonts w:hint="eastAsia" w:ascii="仿宋_GB2312" w:hAnsi="仿宋" w:eastAsia="仿宋_GB2312" w:cs="仿宋_GB2312"/>
          <w:kern w:val="2"/>
          <w:sz w:val="32"/>
          <w:szCs w:val="32"/>
        </w:rPr>
        <w:t>据</w:t>
      </w:r>
      <w:r>
        <w:rPr>
          <w:rFonts w:hint="eastAsia" w:ascii="仿宋_GB2312" w:hAnsi="仿宋" w:eastAsia="仿宋_GB2312" w:cs="仿宋_GB2312"/>
          <w:sz w:val="32"/>
          <w:szCs w:val="32"/>
          <w:lang w:val="en-US" w:eastAsia="zh-CN"/>
        </w:rPr>
        <w:t>《药品经营和使用质量监督管理办法》第七十三条</w:t>
      </w:r>
      <w:r>
        <w:rPr>
          <w:rFonts w:hint="eastAsia" w:ascii="仿宋_GB2312" w:hAnsi="仿宋" w:eastAsia="仿宋_GB2312" w:cs="仿宋_GB2312"/>
          <w:kern w:val="2"/>
          <w:sz w:val="32"/>
          <w:szCs w:val="32"/>
        </w:rPr>
        <w:t>的规定，</w:t>
      </w:r>
      <w:r>
        <w:rPr>
          <w:rFonts w:hint="eastAsia" w:ascii="仿宋_GB2312" w:hAnsi="仿宋" w:eastAsia="仿宋_GB2312" w:cs="仿宋_GB2312"/>
          <w:kern w:val="2"/>
          <w:sz w:val="32"/>
          <w:szCs w:val="32"/>
          <w:lang w:eastAsia="zh-CN"/>
        </w:rPr>
        <w:t>决定</w:t>
      </w:r>
      <w:r>
        <w:rPr>
          <w:rFonts w:hint="eastAsia" w:ascii="仿宋_GB2312" w:hAnsi="仿宋" w:eastAsia="仿宋_GB2312" w:cs="仿宋_GB2312"/>
          <w:kern w:val="2"/>
          <w:sz w:val="32"/>
          <w:szCs w:val="32"/>
        </w:rPr>
        <w:t>对当事人作出处理如下：1、责令</w:t>
      </w:r>
      <w:r>
        <w:rPr>
          <w:rFonts w:hint="eastAsia" w:ascii="仿宋_GB2312" w:hAnsi="仿宋" w:eastAsia="仿宋_GB2312" w:cs="仿宋_GB2312"/>
          <w:kern w:val="2"/>
          <w:sz w:val="32"/>
          <w:szCs w:val="32"/>
          <w:lang w:eastAsia="zh-CN"/>
        </w:rPr>
        <w:t>七日内</w:t>
      </w:r>
      <w:r>
        <w:rPr>
          <w:rFonts w:hint="eastAsia" w:ascii="仿宋_GB2312" w:hAnsi="仿宋" w:eastAsia="仿宋_GB2312" w:cs="仿宋_GB2312"/>
          <w:kern w:val="2"/>
          <w:sz w:val="32"/>
          <w:szCs w:val="32"/>
        </w:rPr>
        <w:t xml:space="preserve">改正上述违法行为。  </w:t>
      </w:r>
    </w:p>
    <w:p>
      <w:pPr>
        <w:keepNext w:val="0"/>
        <w:keepLines w:val="0"/>
        <w:pageBreakBefore w:val="0"/>
        <w:widowControl w:val="0"/>
        <w:kinsoku/>
        <w:wordWrap/>
        <w:overflowPunct/>
        <w:topLinePunct w:val="0"/>
        <w:autoSpaceDE/>
        <w:autoSpaceDN/>
        <w:bidi w:val="0"/>
        <w:ind w:firstLine="640" w:firstLineChars="200"/>
        <w:rPr>
          <w:rFonts w:hint="eastAsia" w:ascii="仿宋_GB2312" w:hAnsi="仿宋" w:eastAsia="仿宋_GB2312" w:cs="仿宋_GB2312"/>
          <w:kern w:val="2"/>
          <w:sz w:val="32"/>
          <w:szCs w:val="32"/>
        </w:rPr>
      </w:pPr>
      <w:r>
        <w:rPr>
          <w:rFonts w:hint="eastAsia" w:ascii="仿宋_GB2312" w:hAnsi="宋体" w:eastAsia="仿宋_GB2312" w:cs="仿宋_GB2312"/>
          <w:sz w:val="32"/>
          <w:szCs w:val="32"/>
        </w:rPr>
        <w:t>以上罚没款合计人民币</w:t>
      </w:r>
      <w:r>
        <w:rPr>
          <w:rFonts w:hint="eastAsia" w:ascii="仿宋_GB2312" w:hAnsi="宋体" w:eastAsia="仿宋_GB2312" w:cs="仿宋_GB2312"/>
          <w:sz w:val="32"/>
          <w:szCs w:val="32"/>
          <w:lang w:val="en-US" w:eastAsia="zh-CN"/>
        </w:rPr>
        <w:t>21</w:t>
      </w:r>
      <w:r>
        <w:rPr>
          <w:rFonts w:hint="eastAsia" w:ascii="仿宋_GB2312" w:hAnsi="宋体" w:eastAsia="仿宋_GB2312" w:cs="仿宋_GB2312"/>
          <w:sz w:val="32"/>
          <w:szCs w:val="32"/>
        </w:rPr>
        <w:t>00元。</w:t>
      </w:r>
      <w:r>
        <w:rPr>
          <w:rFonts w:hint="eastAsia" w:ascii="仿宋_GB2312" w:hAnsi="仿宋" w:eastAsia="仿宋_GB2312" w:cs="仿宋_GB2312"/>
          <w:kern w:val="2"/>
          <w:sz w:val="32"/>
          <w:szCs w:val="32"/>
        </w:rPr>
        <w:t xml:space="preserve">   </w:t>
      </w:r>
    </w:p>
    <w:p>
      <w:pPr>
        <w:keepNext w:val="0"/>
        <w:keepLines w:val="0"/>
        <w:pageBreakBefore w:val="0"/>
        <w:widowControl w:val="0"/>
        <w:kinsoku/>
        <w:wordWrap/>
        <w:overflowPunct/>
        <w:topLinePunct w:val="0"/>
        <w:autoSpaceDE/>
        <w:autoSpaceDN/>
        <w:bidi w:val="0"/>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rPr>
        <w:t>当事人应当在接到本行政处罚决定书之日起十五日内，凭福建省政府非税收入缴款通知书（缴款码）通过银行网点或者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晋江市人民法院强制执行。</w:t>
      </w:r>
    </w:p>
    <w:p>
      <w:pPr>
        <w:keepNext w:val="0"/>
        <w:keepLines w:val="0"/>
        <w:pageBreakBefore w:val="0"/>
        <w:widowControl w:val="0"/>
        <w:kinsoku/>
        <w:wordWrap/>
        <w:overflowPunct/>
        <w:topLinePunct w:val="0"/>
        <w:autoSpaceDE/>
        <w:autoSpaceDN/>
        <w:bidi w:val="0"/>
        <w:ind w:right="-92" w:rightChars="-44" w:firstLine="640" w:firstLineChars="200"/>
        <w:jc w:val="left"/>
        <w:rPr>
          <w:rFonts w:hint="eastAsia" w:ascii="仿宋_GB2312" w:hAnsi="仿宋" w:eastAsia="仿宋_GB2312" w:cs="仿宋_GB2312"/>
          <w:sz w:val="32"/>
          <w:szCs w:val="32"/>
        </w:rPr>
      </w:pPr>
      <w:r>
        <w:rPr>
          <w:rFonts w:hint="eastAsia" w:ascii="仿宋_GB2312" w:hAnsi="仿宋" w:eastAsia="仿宋_GB2312" w:cs="仿宋_GB2312"/>
          <w:sz w:val="32"/>
          <w:szCs w:val="32"/>
        </w:rPr>
        <w:t xml:space="preserve">当事人如对本行政处罚决定不服，可在接到本行政处罚决定书之日起六十日内向晋江市人民政府申请行政复议，也可以在六个月内依法向人民法院提起行政诉讼。申请行政复议和提起行政诉讼期间，行政处罚不停止执行，法律、法规、规章另有规定的，从其规定。当事人在法定期限内不申请行政复议或者提起行政诉讼，又不履行本行政处罚决定的，本局将依法申请人民法院强制执行。                                          </w:t>
      </w:r>
      <w:r>
        <w:rPr>
          <w:rFonts w:hint="eastAsia" w:ascii="仿宋_GB2312" w:hAnsi="仿宋" w:eastAsia="仿宋_GB2312" w:cs="仿宋_GB2312"/>
          <w:sz w:val="32"/>
          <w:szCs w:val="32"/>
          <w:lang w:val="en-US" w:eastAsia="zh-CN"/>
        </w:rPr>
        <w:t xml:space="preserve">                     </w:t>
      </w:r>
      <w:r>
        <w:rPr>
          <w:rFonts w:hint="eastAsia" w:ascii="仿宋_GB2312" w:hAnsi="仿宋" w:eastAsia="仿宋_GB2312" w:cs="仿宋_GB2312"/>
          <w:sz w:val="32"/>
          <w:szCs w:val="32"/>
        </w:rPr>
        <w:t xml:space="preserve"> </w:t>
      </w:r>
    </w:p>
    <w:p>
      <w:pPr>
        <w:keepNext w:val="0"/>
        <w:keepLines w:val="0"/>
        <w:pageBreakBefore w:val="0"/>
        <w:widowControl w:val="0"/>
        <w:kinsoku/>
        <w:wordWrap/>
        <w:overflowPunct/>
        <w:topLinePunct w:val="0"/>
        <w:autoSpaceDE/>
        <w:autoSpaceDN/>
        <w:bidi w:val="0"/>
        <w:ind w:firstLine="601"/>
        <w:jc w:val="center"/>
        <w:rPr>
          <w:rFonts w:hint="eastAsia" w:ascii="仿宋_GB2312" w:hAnsi="仿宋" w:eastAsia="仿宋_GB2312" w:cs="仿宋_GB2312"/>
          <w:sz w:val="32"/>
          <w:szCs w:val="32"/>
          <w:lang w:val="en-US" w:eastAsia="zh-CN"/>
        </w:rPr>
      </w:pPr>
      <w:r>
        <w:rPr>
          <w:rFonts w:hint="eastAsia" w:ascii="仿宋_GB2312" w:hAnsi="仿宋"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ind w:firstLine="601"/>
        <w:jc w:val="center"/>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t xml:space="preserve">                        </w:t>
      </w:r>
      <w:r>
        <w:rPr>
          <w:rFonts w:hint="eastAsia" w:ascii="仿宋_GB2312" w:hAnsi="仿宋" w:eastAsia="仿宋_GB2312" w:cs="仿宋_GB2312"/>
          <w:sz w:val="32"/>
          <w:szCs w:val="32"/>
        </w:rPr>
        <w:t>晋江市市场监督管理局</w:t>
      </w:r>
    </w:p>
    <w:p>
      <w:pPr>
        <w:keepNext w:val="0"/>
        <w:keepLines w:val="0"/>
        <w:pageBreakBefore w:val="0"/>
        <w:widowControl w:val="0"/>
        <w:kinsoku/>
        <w:wordWrap/>
        <w:overflowPunct/>
        <w:topLinePunct w:val="0"/>
        <w:autoSpaceDE/>
        <w:autoSpaceDN/>
        <w:bidi w:val="0"/>
        <w:ind w:firstLine="601"/>
        <w:jc w:val="center"/>
        <w:rPr>
          <w:rFonts w:hint="eastAsia" w:ascii="仿宋_GB2312" w:hAnsi="黑体" w:eastAsia="仿宋_GB2312" w:cs="仿宋_GB2312"/>
          <w:sz w:val="32"/>
          <w:szCs w:val="32"/>
        </w:rPr>
      </w:pPr>
      <w:r>
        <w:rPr>
          <w:rFonts w:hint="eastAsia" w:ascii="仿宋_GB2312" w:hAnsi="仿宋" w:eastAsia="仿宋_GB2312" w:cs="仿宋_GB2312"/>
          <w:sz w:val="32"/>
          <w:szCs w:val="32"/>
        </w:rPr>
        <w:t xml:space="preserve">                        </w:t>
      </w:r>
      <w:r>
        <w:rPr>
          <w:rFonts w:ascii="仿宋_GB2312" w:hAnsi="仿宋" w:eastAsia="仿宋_GB2312" w:cs="仿宋_GB2312"/>
          <w:sz w:val="32"/>
          <w:szCs w:val="32"/>
        </w:rPr>
        <w:t>202</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年</w:t>
      </w:r>
      <w:r>
        <w:rPr>
          <w:rFonts w:hint="eastAsia" w:ascii="仿宋_GB2312" w:hAnsi="仿宋" w:eastAsia="仿宋_GB2312" w:cs="仿宋_GB2312"/>
          <w:sz w:val="32"/>
          <w:szCs w:val="32"/>
          <w:lang w:val="en-US" w:eastAsia="zh-CN"/>
        </w:rPr>
        <w:t>5</w:t>
      </w:r>
      <w:r>
        <w:rPr>
          <w:rFonts w:hint="eastAsia" w:ascii="仿宋_GB2312" w:hAnsi="仿宋" w:eastAsia="仿宋_GB2312" w:cs="仿宋_GB2312"/>
          <w:sz w:val="32"/>
          <w:szCs w:val="32"/>
        </w:rPr>
        <w:t>月</w:t>
      </w:r>
      <w:r>
        <w:rPr>
          <w:rFonts w:hint="eastAsia" w:ascii="仿宋_GB2312" w:hAnsi="仿宋" w:eastAsia="仿宋_GB2312" w:cs="仿宋_GB2312"/>
          <w:sz w:val="32"/>
          <w:szCs w:val="32"/>
          <w:lang w:val="en-US" w:eastAsia="zh-CN"/>
        </w:rPr>
        <w:t>14</w:t>
      </w:r>
      <w:r>
        <w:rPr>
          <w:rFonts w:hint="eastAsia" w:ascii="仿宋_GB2312" w:hAnsi="仿宋" w:eastAsia="仿宋_GB2312" w:cs="仿宋_GB2312"/>
          <w:sz w:val="32"/>
          <w:szCs w:val="32"/>
        </w:rPr>
        <w:t xml:space="preserve">日   </w:t>
      </w: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hint="eastAsia" w:ascii="仿宋_GB2312" w:hAnsi="黑体" w:eastAsia="仿宋_GB2312" w:cs="仿宋_GB2312"/>
          <w:sz w:val="32"/>
          <w:szCs w:val="32"/>
        </w:rPr>
      </w:pPr>
    </w:p>
    <w:p>
      <w:pPr>
        <w:keepNext w:val="0"/>
        <w:keepLines w:val="0"/>
        <w:pageBreakBefore w:val="0"/>
        <w:widowControl w:val="0"/>
        <w:kinsoku/>
        <w:wordWrap/>
        <w:overflowPunct/>
        <w:topLinePunct w:val="0"/>
        <w:autoSpaceDE/>
        <w:autoSpaceDN/>
        <w:bidi w:val="0"/>
        <w:snapToGrid w:val="0"/>
        <w:ind w:right="-313" w:rightChars="-149"/>
        <w:rPr>
          <w:rFonts w:ascii="仿宋_GB2312" w:hAnsi="黑体" w:eastAsia="仿宋_GB2312" w:cs="Times New Roman"/>
          <w:sz w:val="32"/>
          <w:szCs w:val="32"/>
        </w:rPr>
      </w:pPr>
      <w:r>
        <w:rPr>
          <w:rFonts w:hint="eastAsia" w:ascii="仿宋_GB2312" w:hAnsi="黑体" w:eastAsia="仿宋_GB2312" w:cs="仿宋_GB2312"/>
          <w:sz w:val="32"/>
          <w:szCs w:val="32"/>
        </w:rPr>
        <w:t>（</w:t>
      </w:r>
      <w:r>
        <w:rPr>
          <w:rFonts w:hint="eastAsia" w:ascii="黑体" w:hAnsi="黑体" w:eastAsia="黑体" w:cs="黑体"/>
          <w:b/>
          <w:bCs/>
          <w:sz w:val="32"/>
          <w:szCs w:val="32"/>
        </w:rPr>
        <w:t>市场监督管理部门将依法向社会公示本行政处罚决定信息</w:t>
      </w:r>
      <w:r>
        <w:rPr>
          <w:rFonts w:hint="eastAsia" w:ascii="仿宋_GB2312" w:hAnsi="黑体" w:eastAsia="仿宋_GB2312" w:cs="仿宋_GB2312"/>
          <w:sz w:val="32"/>
          <w:szCs w:val="32"/>
        </w:rPr>
        <w:t>）</w:t>
      </w:r>
    </w:p>
    <w:p>
      <w:pPr>
        <w:keepNext w:val="0"/>
        <w:keepLines w:val="0"/>
        <w:pageBreakBefore w:val="0"/>
        <w:widowControl w:val="0"/>
        <w:kinsoku/>
        <w:wordWrap/>
        <w:overflowPunct/>
        <w:topLinePunct w:val="0"/>
        <w:autoSpaceDE/>
        <w:autoSpaceDN/>
        <w:bidi w:val="0"/>
        <w:ind w:right="-197" w:rightChars="-94"/>
        <w:jc w:val="left"/>
      </w:pPr>
      <w:r>
        <mc:AlternateContent>
          <mc:Choice Requires="wps">
            <w:drawing>
              <wp:anchor distT="0" distB="0" distL="114300" distR="114300" simplePos="0" relativeHeight="251660288" behindDoc="0" locked="0" layoutInCell="1" allowOverlap="1">
                <wp:simplePos x="0" y="0"/>
                <wp:positionH relativeFrom="column">
                  <wp:posOffset>104775</wp:posOffset>
                </wp:positionH>
                <wp:positionV relativeFrom="paragraph">
                  <wp:posOffset>173355</wp:posOffset>
                </wp:positionV>
                <wp:extent cx="5324475" cy="0"/>
                <wp:effectExtent l="0" t="7620" r="0" b="8255"/>
                <wp:wrapNone/>
                <wp:docPr id="2" name="直接连接符 2"/>
                <wp:cNvGraphicFramePr/>
                <a:graphic xmlns:a="http://schemas.openxmlformats.org/drawingml/2006/main">
                  <a:graphicData uri="http://schemas.microsoft.com/office/word/2010/wordprocessingShape">
                    <wps:wsp>
                      <wps:cNvCnPr/>
                      <wps:spPr>
                        <a:xfrm>
                          <a:off x="0" y="0"/>
                          <a:ext cx="5324475" cy="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25pt;margin-top:13.65pt;height:0pt;width:419.25pt;z-index:251660288;mso-width-relative:page;mso-height-relative:page;" filled="f" stroked="t" coordsize="21600,21600" o:gfxdata="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Z0Suz1gAAAAgBAAAPAAAAAAAA&#10;AAEAIAAAACIAAABkcnMvZG93bnJldi54bWxQSwECFAAUAAAACACHTuJA7olwi9sBAACXAwAADgAA&#10;AAAAAAABACAAAAAlAQAAZHJzL2Uyb0RvYy54bWxQSwUGAAAAAAYABgBZAQAAcgUAAAAA&#10;">
                <v:fill on="f" focussize="0,0"/>
                <v:stroke weight="1.25pt" color="#000000" joinstyle="round"/>
                <v:imagedata o:title=""/>
                <o:lock v:ext="edit" aspectratio="f"/>
              </v:line>
            </w:pict>
          </mc:Fallback>
        </mc:AlternateContent>
      </w:r>
    </w:p>
    <w:p>
      <w:pPr>
        <w:keepNext w:val="0"/>
        <w:keepLines w:val="0"/>
        <w:pageBreakBefore w:val="0"/>
        <w:widowControl w:val="0"/>
        <w:kinsoku/>
        <w:wordWrap/>
        <w:overflowPunct/>
        <w:topLinePunct w:val="0"/>
        <w:autoSpaceDE/>
        <w:autoSpaceDN/>
        <w:bidi w:val="0"/>
        <w:ind w:right="-197" w:rightChars="-94"/>
        <w:jc w:val="left"/>
        <w:rPr>
          <w:rFonts w:hint="eastAsia" w:ascii="仿宋_GB2312" w:hAnsi="仿宋" w:eastAsia="仿宋_GB2312" w:cs="Times New Roman"/>
          <w:sz w:val="32"/>
          <w:szCs w:val="32"/>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zkdcAAAAKAQAADwAA&#10;AAAAAAABACAAAAAiAAAAZHJzL2Rvd25yZXYueG1sUEsBAhQAFAAAAAgAh07iQGaJ3cTeAQAAlwMA&#10;AA4AAAAAAAAAAQAgAAAAJgEAAGRycy9lMm9Eb2MueG1sUEsFBgAAAAAGAAYAWQEAAHYFAAAAAA==&#10;">
                <v:fill on="f" focussize="0,0"/>
                <v:stroke weight="0.737007874015748pt" color="#000000" joinstyle="round" endcap="square"/>
                <v:imagedata o:title=""/>
                <o:lock v:ext="edit" aspectratio="f"/>
              </v:line>
            </w:pict>
          </mc:Fallback>
        </mc:AlternateContent>
      </w:r>
      <w:r>
        <w:rPr>
          <w:rFonts w:hint="eastAsia" w:ascii="仿宋_GB2312" w:hAnsi="仿宋" w:eastAsia="仿宋_GB2312" w:cs="仿宋_GB2312"/>
          <w:sz w:val="32"/>
          <w:szCs w:val="32"/>
        </w:rPr>
        <w:t>本文书一式两份，一份送达，一份归档。</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简体">
    <w:altName w:val="Arial Unicode MS"/>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0523EB0"/>
    <w:rsid w:val="016A6FD7"/>
    <w:rsid w:val="04293CFB"/>
    <w:rsid w:val="0B3440E4"/>
    <w:rsid w:val="0D447276"/>
    <w:rsid w:val="0DBD22EC"/>
    <w:rsid w:val="0DC12675"/>
    <w:rsid w:val="11621A79"/>
    <w:rsid w:val="14515DD5"/>
    <w:rsid w:val="23AD74CB"/>
    <w:rsid w:val="24B9255E"/>
    <w:rsid w:val="25227A45"/>
    <w:rsid w:val="253A7874"/>
    <w:rsid w:val="2588771A"/>
    <w:rsid w:val="264E7E89"/>
    <w:rsid w:val="289A78F2"/>
    <w:rsid w:val="29B35913"/>
    <w:rsid w:val="2A306760"/>
    <w:rsid w:val="2C545A11"/>
    <w:rsid w:val="2F8512FC"/>
    <w:rsid w:val="30175A94"/>
    <w:rsid w:val="353F631E"/>
    <w:rsid w:val="39B20F40"/>
    <w:rsid w:val="3AFB3A56"/>
    <w:rsid w:val="3AFE1F63"/>
    <w:rsid w:val="3BF75330"/>
    <w:rsid w:val="3E8D1F7B"/>
    <w:rsid w:val="414D154E"/>
    <w:rsid w:val="41913B31"/>
    <w:rsid w:val="42E27DDC"/>
    <w:rsid w:val="44185E43"/>
    <w:rsid w:val="452A2718"/>
    <w:rsid w:val="464F5D68"/>
    <w:rsid w:val="474F4272"/>
    <w:rsid w:val="47BA0375"/>
    <w:rsid w:val="4D724A1E"/>
    <w:rsid w:val="526470DD"/>
    <w:rsid w:val="54ED50CA"/>
    <w:rsid w:val="55F46D30"/>
    <w:rsid w:val="591F781C"/>
    <w:rsid w:val="596D6CF1"/>
    <w:rsid w:val="5AFE64B5"/>
    <w:rsid w:val="5BF3746A"/>
    <w:rsid w:val="5C58107B"/>
    <w:rsid w:val="5C7B2FBB"/>
    <w:rsid w:val="5C86208C"/>
    <w:rsid w:val="5E457324"/>
    <w:rsid w:val="630B1245"/>
    <w:rsid w:val="63D74F7B"/>
    <w:rsid w:val="658B24C1"/>
    <w:rsid w:val="65CE23AE"/>
    <w:rsid w:val="66C739CD"/>
    <w:rsid w:val="69293CA2"/>
    <w:rsid w:val="6A252073"/>
    <w:rsid w:val="6A8E6582"/>
    <w:rsid w:val="6AB959E6"/>
    <w:rsid w:val="6BE5323D"/>
    <w:rsid w:val="6ECA68AA"/>
    <w:rsid w:val="6F842A78"/>
    <w:rsid w:val="7073497B"/>
    <w:rsid w:val="72AF2EBE"/>
    <w:rsid w:val="751B33A8"/>
    <w:rsid w:val="77365F93"/>
    <w:rsid w:val="78D37FAF"/>
    <w:rsid w:val="795B53DC"/>
    <w:rsid w:val="7A08324D"/>
    <w:rsid w:val="7B3F115D"/>
    <w:rsid w:val="7C091DFF"/>
    <w:rsid w:val="7C337D02"/>
    <w:rsid w:val="7D0A7D18"/>
    <w:rsid w:val="7DA55C93"/>
    <w:rsid w:val="7F7D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2024-02-28T10:14:00Z</dcterms:created>
  <dc:creator>admin</dc:creator>
  <cp:lastModifiedBy>施婉弘</cp:lastModifiedBy>
  <dcterms:modified xsi:type="dcterms:W3CDTF">2025-06-06T09:52:49Z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CDD2F74ED2E84F27983BBEEBB28A58E0_13</vt:lpwstr>
  </property>
</Properties>
</file>